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3B1" w:rsidRPr="00B40BF7" w:rsidRDefault="00FB63B1" w:rsidP="00B40BF7">
      <w:pPr>
        <w:pStyle w:val="Heading1"/>
        <w:rPr>
          <w:rFonts w:ascii="Times New Roman" w:hAnsi="Times New Roman"/>
          <w:sz w:val="24"/>
          <w:szCs w:val="24"/>
        </w:rPr>
      </w:pPr>
      <w:r w:rsidRPr="00B40BF7">
        <w:rPr>
          <w:rFonts w:ascii="Times New Roman" w:hAnsi="Times New Roman"/>
          <w:sz w:val="24"/>
          <w:szCs w:val="24"/>
        </w:rPr>
        <w:t>Cost Estimating (CE) Tool Procedures</w:t>
      </w:r>
    </w:p>
    <w:p w:rsidR="00B40BF7" w:rsidRPr="00B40BF7" w:rsidRDefault="00B40BF7" w:rsidP="00B40BF7">
      <w:pPr>
        <w:pStyle w:val="Body"/>
        <w:spacing w:before="0"/>
        <w:ind w:left="0"/>
        <w:rPr>
          <w:rFonts w:ascii="Times New Roman" w:hAnsi="Times New Roman"/>
          <w:sz w:val="24"/>
        </w:rPr>
      </w:pPr>
    </w:p>
    <w:p w:rsidR="00FB63B1" w:rsidRPr="00B40BF7" w:rsidRDefault="00FB63B1" w:rsidP="00F43357">
      <w:pPr>
        <w:pStyle w:val="Body"/>
        <w:spacing w:before="0"/>
        <w:ind w:left="0"/>
        <w:rPr>
          <w:rFonts w:ascii="Times New Roman" w:hAnsi="Times New Roman"/>
          <w:sz w:val="24"/>
        </w:rPr>
      </w:pPr>
      <w:r w:rsidRPr="00B40BF7">
        <w:rPr>
          <w:rFonts w:ascii="Times New Roman" w:hAnsi="Times New Roman"/>
          <w:sz w:val="24"/>
        </w:rPr>
        <w:t xml:space="preserve">It is the intent that the CFWI CE Tool be used to develop project costs estimates for Water Supply Projects. </w:t>
      </w:r>
      <w:r w:rsidRPr="00B40BF7">
        <w:rPr>
          <w:rStyle w:val="BodyChar"/>
          <w:rFonts w:ascii="Times New Roman" w:hAnsi="Times New Roman"/>
          <w:sz w:val="24"/>
        </w:rPr>
        <w:t>The most current version of the CE Tool is</w:t>
      </w:r>
      <w:r w:rsidRPr="00B40BF7">
        <w:rPr>
          <w:rStyle w:val="BodyChar"/>
          <w:rFonts w:ascii="Times New Roman" w:eastAsiaTheme="minorHAnsi" w:hAnsi="Times New Roman"/>
          <w:sz w:val="24"/>
        </w:rPr>
        <w:t xml:space="preserve"> </w:t>
      </w:r>
      <w:r w:rsidRPr="00B40BF7">
        <w:rPr>
          <w:rStyle w:val="BodyChar"/>
          <w:rFonts w:ascii="Times New Roman" w:hAnsi="Times New Roman"/>
          <w:sz w:val="24"/>
        </w:rPr>
        <w:t>available at the following link:</w:t>
      </w:r>
      <w:r w:rsidRPr="00B40BF7">
        <w:rPr>
          <w:rFonts w:ascii="Times New Roman" w:hAnsi="Times New Roman"/>
          <w:sz w:val="24"/>
        </w:rPr>
        <w:t xml:space="preserve"> </w:t>
      </w:r>
      <w:hyperlink r:id="rId5" w:history="1">
        <w:r w:rsidR="0041053C" w:rsidRPr="00E45098">
          <w:rPr>
            <w:rStyle w:val="Hyperlink"/>
          </w:rPr>
          <w:t>https://cfwiwater.com/CFWIresources.html</w:t>
        </w:r>
      </w:hyperlink>
      <w:r w:rsidR="0041053C">
        <w:t xml:space="preserve">. </w:t>
      </w:r>
      <w:r w:rsidRPr="00B40BF7">
        <w:rPr>
          <w:rFonts w:ascii="Times New Roman" w:hAnsi="Times New Roman"/>
          <w:sz w:val="24"/>
        </w:rPr>
        <w:t xml:space="preserve">There are some unique projects that will require a customized approach to costing, for which the CE Tool may need to be expanded or adjusted. The </w:t>
      </w:r>
      <w:r w:rsidR="004C72F7">
        <w:rPr>
          <w:rFonts w:ascii="Times New Roman" w:hAnsi="Times New Roman"/>
          <w:sz w:val="24"/>
        </w:rPr>
        <w:t xml:space="preserve">CE </w:t>
      </w:r>
      <w:r w:rsidRPr="00B40BF7">
        <w:rPr>
          <w:rFonts w:ascii="Times New Roman" w:hAnsi="Times New Roman"/>
          <w:sz w:val="24"/>
        </w:rPr>
        <w:t xml:space="preserve">Tool was designed to achieve </w:t>
      </w:r>
      <w:r w:rsidRPr="00B40BF7">
        <w:rPr>
          <w:rFonts w:ascii="Times New Roman" w:hAnsi="Times New Roman"/>
          <w:i/>
          <w:iCs/>
          <w:sz w:val="24"/>
        </w:rPr>
        <w:t>The Association for the Advancement of Cost Engineering International</w:t>
      </w:r>
      <w:r w:rsidRPr="00B40BF7">
        <w:rPr>
          <w:rFonts w:ascii="Times New Roman" w:hAnsi="Times New Roman"/>
          <w:sz w:val="24"/>
        </w:rPr>
        <w:t xml:space="preserve"> (AACE), Class </w:t>
      </w:r>
      <w:r w:rsidR="00D83825">
        <w:rPr>
          <w:rFonts w:ascii="Times New Roman" w:hAnsi="Times New Roman"/>
          <w:sz w:val="24"/>
        </w:rPr>
        <w:t>4</w:t>
      </w:r>
      <w:r w:rsidRPr="00B40BF7">
        <w:rPr>
          <w:rFonts w:ascii="Times New Roman" w:hAnsi="Times New Roman"/>
          <w:sz w:val="24"/>
        </w:rPr>
        <w:t xml:space="preserve"> Estimate level. A Class </w:t>
      </w:r>
      <w:r w:rsidR="00D83825">
        <w:rPr>
          <w:rFonts w:ascii="Times New Roman" w:hAnsi="Times New Roman"/>
          <w:sz w:val="24"/>
        </w:rPr>
        <w:t>4</w:t>
      </w:r>
      <w:r w:rsidRPr="00B40BF7">
        <w:rPr>
          <w:rFonts w:ascii="Times New Roman" w:hAnsi="Times New Roman"/>
          <w:sz w:val="24"/>
        </w:rPr>
        <w:t xml:space="preserve"> Estimate is considered a “Concept </w:t>
      </w:r>
      <w:r w:rsidR="00D83825">
        <w:rPr>
          <w:rFonts w:ascii="Times New Roman" w:hAnsi="Times New Roman"/>
          <w:sz w:val="24"/>
        </w:rPr>
        <w:t>Evaluation</w:t>
      </w:r>
      <w:r w:rsidRPr="00B40BF7">
        <w:rPr>
          <w:rFonts w:ascii="Times New Roman" w:hAnsi="Times New Roman"/>
          <w:sz w:val="24"/>
        </w:rPr>
        <w:t xml:space="preserve">” level, with an expected accuracy range of </w:t>
      </w:r>
      <w:r w:rsidRPr="00B40BF7">
        <w:rPr>
          <w:rFonts w:ascii="Times New Roman" w:hAnsi="Times New Roman"/>
          <w:sz w:val="24"/>
        </w:rPr>
        <w:noBreakHyphen/>
      </w:r>
      <w:r w:rsidR="00D83825">
        <w:rPr>
          <w:rFonts w:ascii="Times New Roman" w:hAnsi="Times New Roman"/>
          <w:sz w:val="24"/>
        </w:rPr>
        <w:t>3</w:t>
      </w:r>
      <w:r w:rsidRPr="00B40BF7">
        <w:rPr>
          <w:rFonts w:ascii="Times New Roman" w:hAnsi="Times New Roman"/>
          <w:sz w:val="24"/>
        </w:rPr>
        <w:t>0% to +</w:t>
      </w:r>
      <w:r w:rsidR="00D83825">
        <w:rPr>
          <w:rFonts w:ascii="Times New Roman" w:hAnsi="Times New Roman"/>
          <w:sz w:val="24"/>
        </w:rPr>
        <w:t>5</w:t>
      </w:r>
      <w:r w:rsidRPr="00B40BF7">
        <w:rPr>
          <w:rFonts w:ascii="Times New Roman" w:hAnsi="Times New Roman"/>
          <w:sz w:val="24"/>
        </w:rPr>
        <w:t>0%.</w:t>
      </w:r>
    </w:p>
    <w:p w:rsidR="00FB63B1" w:rsidRPr="00B40BF7" w:rsidRDefault="00FB63B1" w:rsidP="00FB63B1">
      <w:pPr>
        <w:pStyle w:val="Body"/>
        <w:ind w:left="0"/>
        <w:rPr>
          <w:rFonts w:ascii="Times New Roman" w:hAnsi="Times New Roman"/>
          <w:sz w:val="24"/>
        </w:rPr>
      </w:pPr>
      <w:r w:rsidRPr="00B40BF7">
        <w:rPr>
          <w:rFonts w:ascii="Times New Roman" w:hAnsi="Times New Roman"/>
          <w:sz w:val="24"/>
        </w:rPr>
        <w:t xml:space="preserve">The CE Tool is comprised of 27 tabs, the tabs are as follows: </w:t>
      </w:r>
    </w:p>
    <w:p w:rsidR="00FB63B1" w:rsidRPr="00B40BF7" w:rsidRDefault="00FB63B1" w:rsidP="00FB63B1">
      <w:pPr>
        <w:pStyle w:val="Dropbulletlist"/>
        <w:ind w:left="720"/>
        <w:rPr>
          <w:rFonts w:ascii="Times New Roman" w:hAnsi="Times New Roman"/>
          <w:sz w:val="24"/>
        </w:rPr>
      </w:pPr>
      <w:r w:rsidRPr="00B40BF7">
        <w:rPr>
          <w:rFonts w:ascii="Times New Roman" w:hAnsi="Times New Roman"/>
          <w:b/>
          <w:bCs/>
          <w:sz w:val="24"/>
          <w:u w:val="single"/>
        </w:rPr>
        <w:t>Tab 1 - “Summary”</w:t>
      </w:r>
      <w:r w:rsidRPr="00B40BF7">
        <w:rPr>
          <w:rFonts w:ascii="Times New Roman" w:hAnsi="Times New Roman"/>
          <w:sz w:val="24"/>
        </w:rPr>
        <w:t xml:space="preserve">: This tab summarizes the inputs from the System and Component tabs. The only input that you can make on this page is to enter the project name, all other fields are locked. </w:t>
      </w:r>
    </w:p>
    <w:p w:rsidR="00FB63B1" w:rsidRPr="00B40BF7" w:rsidRDefault="00FB63B1" w:rsidP="00FB63B1">
      <w:pPr>
        <w:pStyle w:val="Dropbulletlist"/>
        <w:ind w:left="720"/>
        <w:rPr>
          <w:rFonts w:ascii="Times New Roman" w:hAnsi="Times New Roman"/>
          <w:sz w:val="24"/>
        </w:rPr>
      </w:pPr>
      <w:r w:rsidRPr="00B40BF7">
        <w:rPr>
          <w:rFonts w:ascii="Times New Roman" w:hAnsi="Times New Roman"/>
          <w:b/>
          <w:bCs/>
          <w:sz w:val="24"/>
          <w:u w:val="single"/>
        </w:rPr>
        <w:t>Tab 2 - “Gen Info”</w:t>
      </w:r>
      <w:r w:rsidRPr="00B40BF7">
        <w:rPr>
          <w:rFonts w:ascii="Times New Roman" w:hAnsi="Times New Roman"/>
          <w:sz w:val="24"/>
        </w:rPr>
        <w:t xml:space="preserve">: This covers the CE Tool references, assumptions, and abbreviations, it’s important to review this page. </w:t>
      </w:r>
    </w:p>
    <w:p w:rsidR="00FB63B1" w:rsidRPr="00B40BF7" w:rsidRDefault="00FB63B1" w:rsidP="00FB63B1">
      <w:pPr>
        <w:pStyle w:val="Dropbulletlist"/>
        <w:ind w:left="720"/>
        <w:rPr>
          <w:rFonts w:ascii="Times New Roman" w:hAnsi="Times New Roman"/>
          <w:sz w:val="24"/>
        </w:rPr>
      </w:pPr>
      <w:r w:rsidRPr="00B40BF7">
        <w:rPr>
          <w:rFonts w:ascii="Times New Roman" w:hAnsi="Times New Roman"/>
          <w:b/>
          <w:bCs/>
          <w:sz w:val="24"/>
          <w:u w:val="single"/>
        </w:rPr>
        <w:t>Tabs 3-27 - Systems and Components</w:t>
      </w:r>
      <w:r w:rsidRPr="00B40BF7">
        <w:rPr>
          <w:rFonts w:ascii="Times New Roman" w:hAnsi="Times New Roman"/>
          <w:sz w:val="24"/>
        </w:rPr>
        <w:t xml:space="preserve">: These 25 tabs reflect the base “Systems” and “Components” for the proposed project. All inputs should be entered within these tabs. </w:t>
      </w:r>
    </w:p>
    <w:p w:rsidR="00FB63B1" w:rsidRPr="00B40BF7" w:rsidRDefault="00FB63B1" w:rsidP="00FB63B1">
      <w:pPr>
        <w:pStyle w:val="Body"/>
        <w:ind w:left="0"/>
        <w:rPr>
          <w:rFonts w:ascii="Times New Roman" w:hAnsi="Times New Roman"/>
          <w:sz w:val="24"/>
        </w:rPr>
      </w:pPr>
      <w:r w:rsidRPr="00B40BF7">
        <w:rPr>
          <w:rFonts w:ascii="Times New Roman" w:hAnsi="Times New Roman"/>
          <w:sz w:val="24"/>
        </w:rPr>
        <w:t>Please be aware of the “units”, and be sure to enter the input variables appropriately. For example, there is a significant difference between ‘Average Daily Flow’ (ADF) and ‘Max Daily Flow’ (MDF), and most inputs are in terms of millions of gallons (MG) or million gallons per day (MGD).</w:t>
      </w:r>
    </w:p>
    <w:p w:rsidR="00FB63B1" w:rsidRPr="00B40BF7" w:rsidRDefault="00FB63B1" w:rsidP="00FB63B1">
      <w:pPr>
        <w:pStyle w:val="Heading3"/>
        <w:rPr>
          <w:rFonts w:ascii="Times New Roman" w:hAnsi="Times New Roman"/>
          <w:sz w:val="24"/>
        </w:rPr>
      </w:pPr>
      <w:r w:rsidRPr="00B40BF7">
        <w:rPr>
          <w:rFonts w:ascii="Times New Roman" w:hAnsi="Times New Roman"/>
          <w:sz w:val="24"/>
        </w:rPr>
        <w:t>“How to use the CE Tool”</w:t>
      </w:r>
    </w:p>
    <w:p w:rsidR="00FB63B1" w:rsidRPr="00B40BF7" w:rsidRDefault="00FB63B1" w:rsidP="00FB63B1">
      <w:pPr>
        <w:pStyle w:val="ListParagraph"/>
        <w:numPr>
          <w:ilvl w:val="0"/>
          <w:numId w:val="1"/>
        </w:numPr>
        <w:spacing w:after="120"/>
        <w:ind w:left="720"/>
        <w:rPr>
          <w:rFonts w:ascii="Times New Roman" w:hAnsi="Times New Roman" w:cs="Times New Roman"/>
          <w:sz w:val="24"/>
          <w:szCs w:val="24"/>
        </w:rPr>
      </w:pPr>
      <w:r w:rsidRPr="00B40BF7">
        <w:rPr>
          <w:rFonts w:ascii="Times New Roman" w:hAnsi="Times New Roman" w:cs="Times New Roman"/>
          <w:sz w:val="24"/>
          <w:szCs w:val="24"/>
        </w:rPr>
        <w:t>Open the “Summary” tab, and type the project name into the “Project Name” cell.</w:t>
      </w:r>
    </w:p>
    <w:p w:rsidR="00FB63B1" w:rsidRPr="00B40BF7" w:rsidRDefault="00FB63B1" w:rsidP="00FB63B1">
      <w:pPr>
        <w:pStyle w:val="ListParagraph"/>
        <w:numPr>
          <w:ilvl w:val="0"/>
          <w:numId w:val="1"/>
        </w:numPr>
        <w:spacing w:after="120"/>
        <w:ind w:left="720"/>
        <w:rPr>
          <w:rFonts w:ascii="Times New Roman" w:hAnsi="Times New Roman" w:cs="Times New Roman"/>
          <w:sz w:val="24"/>
          <w:szCs w:val="24"/>
        </w:rPr>
      </w:pPr>
      <w:r w:rsidRPr="00B40BF7">
        <w:rPr>
          <w:rFonts w:ascii="Times New Roman" w:hAnsi="Times New Roman" w:cs="Times New Roman"/>
          <w:sz w:val="24"/>
          <w:szCs w:val="24"/>
        </w:rPr>
        <w:t>Select the “Component” and “System” tabs that apply to the project, and for which costs are to be computed.</w:t>
      </w:r>
    </w:p>
    <w:p w:rsidR="00FB63B1" w:rsidRPr="00B40BF7" w:rsidRDefault="00FB63B1" w:rsidP="00FB63B1">
      <w:pPr>
        <w:pStyle w:val="ListParagraph"/>
        <w:numPr>
          <w:ilvl w:val="0"/>
          <w:numId w:val="1"/>
        </w:numPr>
        <w:spacing w:after="120"/>
        <w:ind w:left="720"/>
        <w:rPr>
          <w:rFonts w:ascii="Times New Roman" w:hAnsi="Times New Roman" w:cs="Times New Roman"/>
          <w:sz w:val="24"/>
          <w:szCs w:val="24"/>
        </w:rPr>
      </w:pPr>
      <w:r w:rsidRPr="00B40BF7">
        <w:rPr>
          <w:rFonts w:ascii="Times New Roman" w:hAnsi="Times New Roman" w:cs="Times New Roman"/>
          <w:sz w:val="24"/>
          <w:szCs w:val="24"/>
        </w:rPr>
        <w:t xml:space="preserve">Input the corresponding project variables (i.e. ADF, MDF, pipe diameters, lengths, depths, </w:t>
      </w:r>
      <w:proofErr w:type="spellStart"/>
      <w:r w:rsidRPr="00B40BF7">
        <w:rPr>
          <w:rFonts w:ascii="Times New Roman" w:hAnsi="Times New Roman" w:cs="Times New Roman"/>
          <w:sz w:val="24"/>
          <w:szCs w:val="24"/>
        </w:rPr>
        <w:t>etc</w:t>
      </w:r>
      <w:proofErr w:type="spellEnd"/>
      <w:r w:rsidRPr="00B40BF7">
        <w:rPr>
          <w:rFonts w:ascii="Times New Roman" w:hAnsi="Times New Roman" w:cs="Times New Roman"/>
          <w:sz w:val="24"/>
          <w:szCs w:val="24"/>
        </w:rPr>
        <w:t>…) into the corresponding system and component tabs.</w:t>
      </w:r>
    </w:p>
    <w:p w:rsidR="00FB63B1" w:rsidRPr="00B40BF7" w:rsidRDefault="00FB63B1" w:rsidP="00FB63B1">
      <w:pPr>
        <w:pStyle w:val="ListParagraph"/>
        <w:numPr>
          <w:ilvl w:val="0"/>
          <w:numId w:val="1"/>
        </w:numPr>
        <w:spacing w:after="120"/>
        <w:ind w:left="720"/>
        <w:rPr>
          <w:rFonts w:ascii="Times New Roman" w:hAnsi="Times New Roman" w:cs="Times New Roman"/>
          <w:sz w:val="24"/>
          <w:szCs w:val="24"/>
        </w:rPr>
      </w:pPr>
      <w:r w:rsidRPr="00B40BF7">
        <w:rPr>
          <w:rFonts w:ascii="Times New Roman" w:hAnsi="Times New Roman" w:cs="Times New Roman"/>
          <w:sz w:val="24"/>
          <w:szCs w:val="24"/>
        </w:rPr>
        <w:t>Confirm that the project cost information in each system and component tab was correctly recorded on the “Summary” tab.</w:t>
      </w:r>
    </w:p>
    <w:p w:rsidR="00FB63B1" w:rsidRPr="00B40BF7" w:rsidRDefault="00FB63B1" w:rsidP="00FB63B1">
      <w:pPr>
        <w:pStyle w:val="ListParagraph"/>
        <w:numPr>
          <w:ilvl w:val="0"/>
          <w:numId w:val="1"/>
        </w:numPr>
        <w:spacing w:after="120"/>
        <w:ind w:left="720"/>
        <w:rPr>
          <w:rFonts w:ascii="Times New Roman" w:hAnsi="Times New Roman" w:cs="Times New Roman"/>
          <w:sz w:val="24"/>
          <w:szCs w:val="24"/>
        </w:rPr>
      </w:pPr>
      <w:r w:rsidRPr="00B40BF7">
        <w:rPr>
          <w:rFonts w:ascii="Times New Roman" w:hAnsi="Times New Roman" w:cs="Times New Roman"/>
          <w:sz w:val="24"/>
          <w:szCs w:val="24"/>
        </w:rPr>
        <w:t xml:space="preserve">The “Summary” tab, beneath the Project Name cell, will provide a composite cost total from each of the system and component tabs. </w:t>
      </w:r>
    </w:p>
    <w:p w:rsidR="00FB63B1" w:rsidRPr="00B40BF7" w:rsidRDefault="00FB63B1" w:rsidP="00FB63B1">
      <w:pPr>
        <w:pStyle w:val="ListParagraph"/>
        <w:numPr>
          <w:ilvl w:val="0"/>
          <w:numId w:val="1"/>
        </w:numPr>
        <w:spacing w:after="120"/>
        <w:ind w:left="720"/>
        <w:rPr>
          <w:rFonts w:ascii="Times New Roman" w:hAnsi="Times New Roman" w:cs="Times New Roman"/>
          <w:sz w:val="24"/>
          <w:szCs w:val="24"/>
        </w:rPr>
      </w:pPr>
      <w:r w:rsidRPr="00B40BF7">
        <w:rPr>
          <w:rFonts w:ascii="Times New Roman" w:hAnsi="Times New Roman" w:cs="Times New Roman"/>
          <w:sz w:val="24"/>
          <w:szCs w:val="24"/>
        </w:rPr>
        <w:t xml:space="preserve">Save the project spreadsheet </w:t>
      </w:r>
    </w:p>
    <w:p w:rsidR="00FB63B1" w:rsidRPr="00B40BF7" w:rsidRDefault="00FB63B1" w:rsidP="00FB63B1">
      <w:pPr>
        <w:pStyle w:val="Body"/>
        <w:ind w:left="0"/>
        <w:rPr>
          <w:rStyle w:val="BodyChar"/>
          <w:rFonts w:ascii="Times New Roman" w:eastAsiaTheme="minorHAnsi" w:hAnsi="Times New Roman"/>
          <w:sz w:val="24"/>
        </w:rPr>
      </w:pPr>
      <w:r w:rsidRPr="00B40BF7">
        <w:rPr>
          <w:rStyle w:val="BodyChar"/>
          <w:rFonts w:ascii="Times New Roman" w:eastAsiaTheme="minorHAnsi" w:hAnsi="Times New Roman"/>
          <w:sz w:val="24"/>
        </w:rPr>
        <w:t xml:space="preserve">The </w:t>
      </w:r>
      <w:r w:rsidR="00A75226" w:rsidRPr="00B40BF7">
        <w:rPr>
          <w:rStyle w:val="BodyChar"/>
          <w:rFonts w:ascii="Times New Roman" w:eastAsiaTheme="minorHAnsi" w:hAnsi="Times New Roman"/>
          <w:sz w:val="24"/>
        </w:rPr>
        <w:t>CE Tools pr</w:t>
      </w:r>
      <w:r w:rsidRPr="00B40BF7">
        <w:rPr>
          <w:rStyle w:val="BodyChar"/>
          <w:rFonts w:ascii="Times New Roman" w:eastAsiaTheme="minorHAnsi" w:hAnsi="Times New Roman"/>
          <w:sz w:val="24"/>
        </w:rPr>
        <w:t xml:space="preserve">imary goal </w:t>
      </w:r>
      <w:r w:rsidR="00A75226" w:rsidRPr="00B40BF7">
        <w:rPr>
          <w:rStyle w:val="BodyChar"/>
          <w:rFonts w:ascii="Times New Roman" w:eastAsiaTheme="minorHAnsi" w:hAnsi="Times New Roman"/>
          <w:sz w:val="24"/>
        </w:rPr>
        <w:t>i</w:t>
      </w:r>
      <w:r w:rsidRPr="00B40BF7">
        <w:rPr>
          <w:rStyle w:val="BodyChar"/>
          <w:rFonts w:ascii="Times New Roman" w:eastAsiaTheme="minorHAnsi" w:hAnsi="Times New Roman"/>
          <w:sz w:val="24"/>
        </w:rPr>
        <w:t>s to provide sub-teams with a “Planning Level Cost Estima</w:t>
      </w:r>
      <w:r w:rsidR="00A75226" w:rsidRPr="00B40BF7">
        <w:rPr>
          <w:rStyle w:val="BodyChar"/>
          <w:rFonts w:ascii="Times New Roman" w:eastAsiaTheme="minorHAnsi" w:hAnsi="Times New Roman"/>
          <w:sz w:val="24"/>
        </w:rPr>
        <w:t xml:space="preserve">ting Tool”. The tool’s intended </w:t>
      </w:r>
      <w:r w:rsidRPr="00B40BF7">
        <w:rPr>
          <w:rStyle w:val="BodyChar"/>
          <w:rFonts w:ascii="Times New Roman" w:eastAsiaTheme="minorHAnsi" w:hAnsi="Times New Roman"/>
          <w:sz w:val="24"/>
        </w:rPr>
        <w:t>to provide consistent calculation of Capital, O&amp;M, Equivalent Annual Cost (EAC, $/</w:t>
      </w:r>
      <w:proofErr w:type="spellStart"/>
      <w:r w:rsidRPr="00B40BF7">
        <w:rPr>
          <w:rStyle w:val="BodyChar"/>
          <w:rFonts w:ascii="Times New Roman" w:eastAsiaTheme="minorHAnsi" w:hAnsi="Times New Roman"/>
          <w:sz w:val="24"/>
        </w:rPr>
        <w:t>yr</w:t>
      </w:r>
      <w:proofErr w:type="spellEnd"/>
      <w:r w:rsidRPr="00B40BF7">
        <w:rPr>
          <w:rStyle w:val="BodyChar"/>
          <w:rFonts w:ascii="Times New Roman" w:eastAsiaTheme="minorHAnsi" w:hAnsi="Times New Roman"/>
          <w:sz w:val="24"/>
        </w:rPr>
        <w:t>), and Unit</w:t>
      </w:r>
      <w:r w:rsidR="00A75226" w:rsidRPr="00B40BF7">
        <w:rPr>
          <w:rStyle w:val="BodyChar"/>
          <w:rFonts w:ascii="Times New Roman" w:eastAsiaTheme="minorHAnsi" w:hAnsi="Times New Roman"/>
          <w:sz w:val="24"/>
        </w:rPr>
        <w:t xml:space="preserve"> Production Cost (UPC, $/</w:t>
      </w:r>
      <w:proofErr w:type="spellStart"/>
      <w:r w:rsidR="00A75226" w:rsidRPr="00B40BF7">
        <w:rPr>
          <w:rStyle w:val="BodyChar"/>
          <w:rFonts w:ascii="Times New Roman" w:eastAsiaTheme="minorHAnsi" w:hAnsi="Times New Roman"/>
          <w:sz w:val="24"/>
        </w:rPr>
        <w:t>kgal</w:t>
      </w:r>
      <w:proofErr w:type="spellEnd"/>
      <w:r w:rsidR="00A75226" w:rsidRPr="00B40BF7">
        <w:rPr>
          <w:rStyle w:val="BodyChar"/>
          <w:rFonts w:ascii="Times New Roman" w:eastAsiaTheme="minorHAnsi" w:hAnsi="Times New Roman"/>
          <w:sz w:val="24"/>
        </w:rPr>
        <w:t>).</w:t>
      </w:r>
    </w:p>
    <w:p w:rsidR="00A75226" w:rsidRDefault="00A75226" w:rsidP="00FB63B1">
      <w:pPr>
        <w:pStyle w:val="Body"/>
        <w:ind w:left="0"/>
        <w:rPr>
          <w:rFonts w:ascii="Times New Roman" w:hAnsi="Times New Roman"/>
          <w:sz w:val="24"/>
        </w:rPr>
      </w:pPr>
    </w:p>
    <w:p w:rsidR="0041053C" w:rsidRPr="00B40BF7" w:rsidRDefault="0041053C" w:rsidP="00FB63B1">
      <w:pPr>
        <w:pStyle w:val="Body"/>
        <w:ind w:left="0"/>
        <w:rPr>
          <w:rFonts w:ascii="Times New Roman" w:hAnsi="Times New Roman"/>
          <w:sz w:val="24"/>
        </w:rPr>
      </w:pPr>
    </w:p>
    <w:p w:rsidR="00FB63B1" w:rsidRPr="00B40BF7" w:rsidRDefault="00FB63B1" w:rsidP="00FB63B1">
      <w:pPr>
        <w:pStyle w:val="Heading2"/>
        <w:keepNext w:val="0"/>
        <w:spacing w:before="0"/>
        <w:rPr>
          <w:rFonts w:ascii="Times New Roman" w:hAnsi="Times New Roman"/>
          <w:sz w:val="24"/>
          <w:szCs w:val="24"/>
        </w:rPr>
      </w:pPr>
    </w:p>
    <w:p w:rsidR="00FB63B1" w:rsidRPr="00B40BF7" w:rsidRDefault="00FB63B1" w:rsidP="00FB63B1">
      <w:pPr>
        <w:pStyle w:val="Heading2"/>
        <w:keepNext w:val="0"/>
        <w:spacing w:before="0"/>
        <w:rPr>
          <w:rFonts w:ascii="Times New Roman" w:hAnsi="Times New Roman"/>
          <w:sz w:val="24"/>
          <w:szCs w:val="24"/>
        </w:rPr>
      </w:pPr>
      <w:r w:rsidRPr="00B40BF7">
        <w:rPr>
          <w:rFonts w:ascii="Times New Roman" w:hAnsi="Times New Roman"/>
          <w:sz w:val="24"/>
          <w:szCs w:val="24"/>
        </w:rPr>
        <w:t>Background</w:t>
      </w:r>
    </w:p>
    <w:p w:rsidR="00FB63B1" w:rsidRPr="00B40BF7" w:rsidRDefault="000441E9" w:rsidP="00FB63B1">
      <w:pPr>
        <w:pStyle w:val="Body"/>
        <w:spacing w:before="0"/>
        <w:ind w:left="0"/>
        <w:rPr>
          <w:rStyle w:val="BodyChar"/>
          <w:rFonts w:ascii="Times New Roman" w:hAnsi="Times New Roman"/>
          <w:sz w:val="24"/>
        </w:rPr>
      </w:pPr>
      <w:r w:rsidRPr="00B40BF7">
        <w:rPr>
          <w:rStyle w:val="BodyChar"/>
          <w:rFonts w:ascii="Times New Roman" w:hAnsi="Times New Roman"/>
          <w:sz w:val="24"/>
        </w:rPr>
        <w:t xml:space="preserve">After a review of various cost estimating </w:t>
      </w:r>
      <w:r w:rsidR="00FB63B1" w:rsidRPr="00B40BF7">
        <w:rPr>
          <w:rStyle w:val="BodyChar"/>
          <w:rFonts w:ascii="Times New Roman" w:hAnsi="Times New Roman"/>
          <w:sz w:val="24"/>
        </w:rPr>
        <w:t xml:space="preserve">data, </w:t>
      </w:r>
      <w:r w:rsidRPr="00B40BF7">
        <w:rPr>
          <w:rStyle w:val="BodyChar"/>
          <w:rFonts w:ascii="Times New Roman" w:hAnsi="Times New Roman"/>
          <w:sz w:val="24"/>
        </w:rPr>
        <w:t xml:space="preserve">it was </w:t>
      </w:r>
      <w:r w:rsidR="00FB63B1" w:rsidRPr="00B40BF7">
        <w:rPr>
          <w:rStyle w:val="BodyChar"/>
          <w:rFonts w:ascii="Times New Roman" w:hAnsi="Times New Roman"/>
          <w:sz w:val="24"/>
        </w:rPr>
        <w:t xml:space="preserve">concluded that an existing study, “Engineering Assistance in Updating Information on Water Supply and Reuse System Component Costs”, 2008-SP10, by Black &amp; Veatch for SJRWMD, revised May 2008, comprised a reasonable and well-documented basis for the identified CFWI water resource projects. This document can be </w:t>
      </w:r>
      <w:r w:rsidRPr="00B40BF7">
        <w:rPr>
          <w:rStyle w:val="BodyChar"/>
          <w:rFonts w:ascii="Times New Roman" w:hAnsi="Times New Roman"/>
          <w:sz w:val="24"/>
        </w:rPr>
        <w:t>located at</w:t>
      </w:r>
      <w:r w:rsidR="00FB63B1" w:rsidRPr="00B40BF7">
        <w:rPr>
          <w:rStyle w:val="BodyChar"/>
          <w:rFonts w:ascii="Times New Roman" w:hAnsi="Times New Roman"/>
          <w:sz w:val="24"/>
        </w:rPr>
        <w:t xml:space="preserve"> the following link:</w:t>
      </w:r>
    </w:p>
    <w:p w:rsidR="0041053C" w:rsidRDefault="008637AD" w:rsidP="00FB63B1">
      <w:pPr>
        <w:pStyle w:val="Body"/>
        <w:ind w:left="0"/>
      </w:pPr>
      <w:hyperlink r:id="rId6" w:history="1">
        <w:r w:rsidR="0041053C" w:rsidRPr="00E45098">
          <w:rPr>
            <w:rStyle w:val="Hyperlink"/>
          </w:rPr>
          <w:t>https://www.sjrwmd.com/documents/technical-reports/special-publications/2015-2009/</w:t>
        </w:r>
      </w:hyperlink>
    </w:p>
    <w:p w:rsidR="00E97368" w:rsidRPr="00B40BF7" w:rsidRDefault="00FB63B1" w:rsidP="00FB63B1">
      <w:pPr>
        <w:pStyle w:val="Body"/>
        <w:ind w:left="0"/>
        <w:rPr>
          <w:rFonts w:ascii="Times New Roman" w:hAnsi="Times New Roman"/>
          <w:sz w:val="24"/>
        </w:rPr>
      </w:pPr>
      <w:r w:rsidRPr="00B40BF7">
        <w:rPr>
          <w:rStyle w:val="BodyChar"/>
          <w:rFonts w:ascii="Times New Roman" w:hAnsi="Times New Roman"/>
          <w:sz w:val="24"/>
        </w:rPr>
        <w:t xml:space="preserve">Throughout this </w:t>
      </w:r>
      <w:r w:rsidR="000441E9" w:rsidRPr="00B40BF7">
        <w:rPr>
          <w:rStyle w:val="BodyChar"/>
          <w:rFonts w:ascii="Times New Roman" w:hAnsi="Times New Roman"/>
          <w:sz w:val="24"/>
        </w:rPr>
        <w:t>document</w:t>
      </w:r>
      <w:r w:rsidRPr="00B40BF7">
        <w:rPr>
          <w:rStyle w:val="BodyChar"/>
          <w:rFonts w:ascii="Times New Roman" w:hAnsi="Times New Roman"/>
          <w:sz w:val="24"/>
        </w:rPr>
        <w:t>, this SJRWMD study will be</w:t>
      </w:r>
      <w:r w:rsidRPr="00B40BF7">
        <w:rPr>
          <w:rStyle w:val="BodyChar"/>
          <w:rFonts w:ascii="Times New Roman" w:eastAsiaTheme="minorHAnsi" w:hAnsi="Times New Roman"/>
          <w:sz w:val="24"/>
        </w:rPr>
        <w:t xml:space="preserve"> </w:t>
      </w:r>
      <w:r w:rsidRPr="00B40BF7">
        <w:rPr>
          <w:rStyle w:val="BodyChar"/>
          <w:rFonts w:ascii="Times New Roman" w:hAnsi="Times New Roman"/>
          <w:sz w:val="24"/>
        </w:rPr>
        <w:t xml:space="preserve">referred to as the “Report”. The Report forms the basis for development of </w:t>
      </w:r>
      <w:r w:rsidR="000441E9" w:rsidRPr="00B40BF7">
        <w:rPr>
          <w:rStyle w:val="BodyChar"/>
          <w:rFonts w:ascii="Times New Roman" w:hAnsi="Times New Roman"/>
          <w:sz w:val="24"/>
        </w:rPr>
        <w:t xml:space="preserve">the </w:t>
      </w:r>
      <w:r w:rsidRPr="00B40BF7">
        <w:rPr>
          <w:rStyle w:val="BodyChar"/>
          <w:rFonts w:ascii="Times New Roman" w:hAnsi="Times New Roman"/>
          <w:sz w:val="24"/>
        </w:rPr>
        <w:t>CE Tool.</w:t>
      </w:r>
      <w:r w:rsidR="00A065FA" w:rsidRPr="00B40BF7">
        <w:rPr>
          <w:rStyle w:val="BodyChar"/>
          <w:rFonts w:ascii="Times New Roman" w:hAnsi="Times New Roman"/>
          <w:sz w:val="24"/>
        </w:rPr>
        <w:t xml:space="preserve"> </w:t>
      </w:r>
      <w:r w:rsidRPr="00B40BF7">
        <w:rPr>
          <w:rFonts w:ascii="Times New Roman" w:hAnsi="Times New Roman"/>
          <w:sz w:val="24"/>
        </w:rPr>
        <w:t xml:space="preserve">The Report characterizes projects into base “Systems” and “Components”. </w:t>
      </w:r>
      <w:proofErr w:type="gramStart"/>
      <w:r w:rsidRPr="00B40BF7">
        <w:rPr>
          <w:rFonts w:ascii="Times New Roman" w:hAnsi="Times New Roman"/>
          <w:sz w:val="24"/>
        </w:rPr>
        <w:t xml:space="preserve">In </w:t>
      </w:r>
      <w:r w:rsidR="00EF34A1" w:rsidRPr="00B40BF7">
        <w:rPr>
          <w:rFonts w:ascii="Times New Roman" w:hAnsi="Times New Roman"/>
          <w:sz w:val="24"/>
        </w:rPr>
        <w:t>order to</w:t>
      </w:r>
      <w:proofErr w:type="gramEnd"/>
      <w:r w:rsidR="00EF34A1" w:rsidRPr="00B40BF7">
        <w:rPr>
          <w:rFonts w:ascii="Times New Roman" w:hAnsi="Times New Roman"/>
          <w:sz w:val="24"/>
        </w:rPr>
        <w:t xml:space="preserve"> effectively utilize the CE Tool, p</w:t>
      </w:r>
      <w:r w:rsidRPr="00B40BF7">
        <w:rPr>
          <w:rFonts w:ascii="Times New Roman" w:hAnsi="Times New Roman"/>
          <w:sz w:val="24"/>
        </w:rPr>
        <w:t>rojects</w:t>
      </w:r>
      <w:r w:rsidR="00EF34A1" w:rsidRPr="00B40BF7">
        <w:rPr>
          <w:rFonts w:ascii="Times New Roman" w:hAnsi="Times New Roman"/>
          <w:sz w:val="24"/>
        </w:rPr>
        <w:t xml:space="preserve"> need to be characterized</w:t>
      </w:r>
      <w:r w:rsidRPr="00B40BF7">
        <w:rPr>
          <w:rFonts w:ascii="Times New Roman" w:hAnsi="Times New Roman"/>
          <w:sz w:val="24"/>
        </w:rPr>
        <w:t xml:space="preserve"> into their major Systems and Components. “Systems” comprise larger processes or operations (i.e. a treatment processes), while “Components” are infrastructure specific (i.e. piping and valves). All costing information </w:t>
      </w:r>
      <w:r w:rsidR="004D1A00" w:rsidRPr="00B40BF7">
        <w:rPr>
          <w:rFonts w:ascii="Times New Roman" w:hAnsi="Times New Roman"/>
          <w:sz w:val="24"/>
        </w:rPr>
        <w:t>i</w:t>
      </w:r>
      <w:r w:rsidRPr="00B40BF7">
        <w:rPr>
          <w:rFonts w:ascii="Times New Roman" w:hAnsi="Times New Roman"/>
          <w:sz w:val="24"/>
        </w:rPr>
        <w:t xml:space="preserve">s </w:t>
      </w:r>
      <w:r w:rsidR="004D1A00" w:rsidRPr="00B40BF7">
        <w:rPr>
          <w:rFonts w:ascii="Times New Roman" w:hAnsi="Times New Roman"/>
          <w:sz w:val="24"/>
        </w:rPr>
        <w:t xml:space="preserve">through </w:t>
      </w:r>
      <w:r w:rsidRPr="00B40BF7">
        <w:rPr>
          <w:rFonts w:ascii="Times New Roman" w:hAnsi="Times New Roman"/>
          <w:sz w:val="24"/>
        </w:rPr>
        <w:t>March 2014. The Systems and Components information represents true “Construction Costs”, and will incorporate construction markups and contingency allowances. “Non-construction Costs”, such as “facilities planning”, “design”, “permitting”, “services during construction”, and “administration”, have also been</w:t>
      </w:r>
      <w:r w:rsidR="00E97368" w:rsidRPr="00B40BF7">
        <w:rPr>
          <w:rFonts w:ascii="Times New Roman" w:hAnsi="Times New Roman"/>
          <w:sz w:val="24"/>
        </w:rPr>
        <w:t xml:space="preserve"> incorporated into the CE Tool.</w:t>
      </w:r>
    </w:p>
    <w:p w:rsidR="00FB63B1" w:rsidRPr="00B40BF7" w:rsidRDefault="00FB63B1" w:rsidP="00683F0A">
      <w:pPr>
        <w:pStyle w:val="Heading2"/>
        <w:keepNext w:val="0"/>
        <w:rPr>
          <w:rFonts w:ascii="Times New Roman" w:hAnsi="Times New Roman"/>
          <w:sz w:val="24"/>
          <w:szCs w:val="24"/>
        </w:rPr>
      </w:pPr>
      <w:r w:rsidRPr="00B40BF7">
        <w:rPr>
          <w:rFonts w:ascii="Times New Roman" w:hAnsi="Times New Roman"/>
          <w:sz w:val="24"/>
          <w:szCs w:val="24"/>
        </w:rPr>
        <w:t>Systems and Components</w:t>
      </w:r>
    </w:p>
    <w:p w:rsidR="004047EA" w:rsidRPr="00B40BF7" w:rsidRDefault="00FB63B1" w:rsidP="004047EA">
      <w:pPr>
        <w:pStyle w:val="Body"/>
        <w:spacing w:before="0"/>
        <w:ind w:left="0"/>
        <w:rPr>
          <w:rFonts w:ascii="Times New Roman" w:hAnsi="Times New Roman"/>
          <w:sz w:val="24"/>
        </w:rPr>
      </w:pPr>
      <w:r w:rsidRPr="00B40BF7">
        <w:rPr>
          <w:rFonts w:ascii="Times New Roman" w:hAnsi="Times New Roman"/>
          <w:sz w:val="24"/>
        </w:rPr>
        <w:t xml:space="preserve">Each System or Component is provided with a letter and number designation, along with a brief description (e.g., “S-2.1b Wellfield”). This </w:t>
      </w:r>
      <w:proofErr w:type="gramStart"/>
      <w:r w:rsidRPr="00B40BF7">
        <w:rPr>
          <w:rFonts w:ascii="Times New Roman" w:hAnsi="Times New Roman"/>
          <w:sz w:val="24"/>
        </w:rPr>
        <w:t>particular identifier</w:t>
      </w:r>
      <w:proofErr w:type="gramEnd"/>
      <w:r w:rsidRPr="00B40BF7">
        <w:rPr>
          <w:rFonts w:ascii="Times New Roman" w:hAnsi="Times New Roman"/>
          <w:sz w:val="24"/>
        </w:rPr>
        <w:t xml:space="preserve"> designates that this item is a water infrastructure S</w:t>
      </w:r>
      <w:r w:rsidRPr="00B40BF7">
        <w:rPr>
          <w:rFonts w:ascii="Times New Roman" w:hAnsi="Times New Roman"/>
          <w:i/>
          <w:iCs/>
          <w:sz w:val="24"/>
        </w:rPr>
        <w:t>ystem</w:t>
      </w:r>
      <w:r w:rsidRPr="00B40BF7">
        <w:rPr>
          <w:rFonts w:ascii="Times New Roman" w:hAnsi="Times New Roman"/>
          <w:sz w:val="24"/>
        </w:rPr>
        <w:t xml:space="preserve"> (S), which is effectively comprised of various </w:t>
      </w:r>
      <w:r w:rsidRPr="00B40BF7">
        <w:rPr>
          <w:rFonts w:ascii="Times New Roman" w:hAnsi="Times New Roman"/>
          <w:i/>
          <w:iCs/>
          <w:sz w:val="24"/>
        </w:rPr>
        <w:t>Components,</w:t>
      </w:r>
      <w:r w:rsidRPr="00B40BF7">
        <w:rPr>
          <w:rFonts w:ascii="Times New Roman" w:hAnsi="Times New Roman"/>
          <w:sz w:val="24"/>
        </w:rPr>
        <w:t xml:space="preserve"> and can be found in Section 2.1 Wellfield of the Report. This reference was included so that you can read the corresponding item description that was included in the Report. Items with a “C” prefix are a component. Components are found in Section 1 of the Report, and Systems are described in Section 2 of the Report. The Report provides more detailed descriptions for the definitions of the Systems and Components. Below is a list of the major Systems and Components that </w:t>
      </w:r>
      <w:r w:rsidR="003E734D" w:rsidRPr="00B40BF7">
        <w:rPr>
          <w:rFonts w:ascii="Times New Roman" w:hAnsi="Times New Roman"/>
          <w:sz w:val="24"/>
        </w:rPr>
        <w:t>can be found in the CE Tool</w:t>
      </w:r>
      <w:r w:rsidRPr="00B40BF7">
        <w:rPr>
          <w:rFonts w:ascii="Times New Roman" w:hAnsi="Times New Roman"/>
          <w:sz w:val="24"/>
        </w:rPr>
        <w:t>:</w:t>
      </w:r>
      <w:r w:rsidR="004047EA" w:rsidRPr="00B40BF7">
        <w:rPr>
          <w:rFonts w:ascii="Times New Roman" w:hAnsi="Times New Roman"/>
          <w:sz w:val="24"/>
        </w:rPr>
        <w:t xml:space="preserve"> </w:t>
      </w:r>
    </w:p>
    <w:p w:rsidR="004047EA" w:rsidRPr="00B40BF7" w:rsidRDefault="004047EA" w:rsidP="004047EA">
      <w:pPr>
        <w:pStyle w:val="Body"/>
        <w:spacing w:before="0"/>
        <w:ind w:left="0"/>
        <w:rPr>
          <w:rFonts w:ascii="Times New Roman" w:hAnsi="Times New Roman"/>
          <w:sz w:val="24"/>
        </w:rPr>
      </w:pPr>
    </w:p>
    <w:p w:rsidR="00594B1A" w:rsidRPr="00B40BF7" w:rsidRDefault="00594B1A" w:rsidP="00A55061">
      <w:pPr>
        <w:pStyle w:val="Heading2"/>
        <w:keepNext w:val="0"/>
        <w:spacing w:before="0"/>
        <w:ind w:left="360"/>
        <w:rPr>
          <w:rFonts w:ascii="Times New Roman" w:hAnsi="Times New Roman"/>
          <w:i/>
          <w:color w:val="000000" w:themeColor="text1"/>
          <w:sz w:val="24"/>
          <w:szCs w:val="24"/>
        </w:rPr>
      </w:pPr>
      <w:r w:rsidRPr="00B40BF7">
        <w:rPr>
          <w:rFonts w:ascii="Times New Roman" w:hAnsi="Times New Roman"/>
          <w:i/>
          <w:color w:val="000000" w:themeColor="text1"/>
          <w:sz w:val="24"/>
          <w:szCs w:val="24"/>
        </w:rPr>
        <w:t>Components</w:t>
      </w:r>
    </w:p>
    <w:p w:rsidR="004047EA" w:rsidRPr="00B40BF7" w:rsidRDefault="004047EA" w:rsidP="00A55061">
      <w:pPr>
        <w:pStyle w:val="ListParagraph"/>
        <w:numPr>
          <w:ilvl w:val="0"/>
          <w:numId w:val="4"/>
        </w:numPr>
        <w:ind w:left="1080"/>
        <w:rPr>
          <w:rFonts w:ascii="Times New Roman" w:hAnsi="Times New Roman" w:cs="Times New Roman"/>
          <w:sz w:val="24"/>
          <w:szCs w:val="24"/>
        </w:rPr>
      </w:pPr>
      <w:r w:rsidRPr="00B40BF7">
        <w:rPr>
          <w:rFonts w:ascii="Times New Roman" w:hAnsi="Times New Roman" w:cs="Times New Roman"/>
          <w:sz w:val="24"/>
          <w:szCs w:val="24"/>
        </w:rPr>
        <w:t>Conventional surface water treatment</w:t>
      </w:r>
    </w:p>
    <w:p w:rsidR="004047EA" w:rsidRPr="00B40BF7" w:rsidRDefault="004047EA" w:rsidP="00A55061">
      <w:pPr>
        <w:pStyle w:val="ListParagraph"/>
        <w:numPr>
          <w:ilvl w:val="0"/>
          <w:numId w:val="4"/>
        </w:numPr>
        <w:ind w:left="1080"/>
        <w:rPr>
          <w:rFonts w:ascii="Times New Roman" w:hAnsi="Times New Roman" w:cs="Times New Roman"/>
          <w:sz w:val="24"/>
          <w:szCs w:val="24"/>
        </w:rPr>
      </w:pPr>
      <w:r w:rsidRPr="00B40BF7">
        <w:rPr>
          <w:rFonts w:ascii="Times New Roman" w:hAnsi="Times New Roman" w:cs="Times New Roman"/>
          <w:sz w:val="24"/>
          <w:szCs w:val="24"/>
        </w:rPr>
        <w:t>Brackish surface water treatment with concentrate mgmt.</w:t>
      </w:r>
    </w:p>
    <w:p w:rsidR="004047EA" w:rsidRPr="00B40BF7" w:rsidRDefault="004047EA" w:rsidP="00A55061">
      <w:pPr>
        <w:pStyle w:val="ListParagraph"/>
        <w:numPr>
          <w:ilvl w:val="0"/>
          <w:numId w:val="4"/>
        </w:numPr>
        <w:ind w:left="1080"/>
        <w:rPr>
          <w:rFonts w:ascii="Times New Roman" w:hAnsi="Times New Roman" w:cs="Times New Roman"/>
          <w:sz w:val="24"/>
          <w:szCs w:val="24"/>
        </w:rPr>
      </w:pPr>
      <w:r w:rsidRPr="00B40BF7">
        <w:rPr>
          <w:rFonts w:ascii="Times New Roman" w:hAnsi="Times New Roman" w:cs="Times New Roman"/>
          <w:sz w:val="24"/>
          <w:szCs w:val="24"/>
        </w:rPr>
        <w:t>Brackish groundwater treatment with concentrate mgmt.</w:t>
      </w:r>
    </w:p>
    <w:p w:rsidR="004047EA" w:rsidRPr="00B40BF7" w:rsidRDefault="004047EA" w:rsidP="00A55061">
      <w:pPr>
        <w:pStyle w:val="ListParagraph"/>
        <w:numPr>
          <w:ilvl w:val="0"/>
          <w:numId w:val="4"/>
        </w:numPr>
        <w:ind w:left="1080"/>
        <w:rPr>
          <w:rFonts w:ascii="Times New Roman" w:hAnsi="Times New Roman" w:cs="Times New Roman"/>
          <w:sz w:val="24"/>
          <w:szCs w:val="24"/>
        </w:rPr>
      </w:pPr>
      <w:r w:rsidRPr="00B40BF7">
        <w:rPr>
          <w:rFonts w:ascii="Times New Roman" w:hAnsi="Times New Roman" w:cs="Times New Roman"/>
          <w:sz w:val="24"/>
          <w:szCs w:val="24"/>
        </w:rPr>
        <w:t>Wellfields (UFA and LFA)</w:t>
      </w:r>
    </w:p>
    <w:p w:rsidR="004047EA" w:rsidRPr="00B40BF7" w:rsidRDefault="004047EA" w:rsidP="00A55061">
      <w:pPr>
        <w:pStyle w:val="ListParagraph"/>
        <w:numPr>
          <w:ilvl w:val="0"/>
          <w:numId w:val="4"/>
        </w:numPr>
        <w:ind w:left="1080"/>
        <w:rPr>
          <w:rFonts w:ascii="Times New Roman" w:hAnsi="Times New Roman" w:cs="Times New Roman"/>
          <w:sz w:val="24"/>
          <w:szCs w:val="24"/>
        </w:rPr>
      </w:pPr>
      <w:r w:rsidRPr="00B40BF7">
        <w:rPr>
          <w:rFonts w:ascii="Times New Roman" w:hAnsi="Times New Roman" w:cs="Times New Roman"/>
          <w:sz w:val="24"/>
          <w:szCs w:val="24"/>
        </w:rPr>
        <w:t>Residual Disinfection for Transmission</w:t>
      </w:r>
    </w:p>
    <w:p w:rsidR="004047EA" w:rsidRPr="00B40BF7" w:rsidRDefault="004047EA" w:rsidP="00A55061">
      <w:pPr>
        <w:pStyle w:val="ListParagraph"/>
        <w:numPr>
          <w:ilvl w:val="0"/>
          <w:numId w:val="4"/>
        </w:numPr>
        <w:ind w:left="1080"/>
        <w:rPr>
          <w:rFonts w:ascii="Times New Roman" w:hAnsi="Times New Roman" w:cs="Times New Roman"/>
          <w:sz w:val="24"/>
          <w:szCs w:val="24"/>
        </w:rPr>
      </w:pPr>
      <w:r w:rsidRPr="00B40BF7">
        <w:rPr>
          <w:rFonts w:ascii="Times New Roman" w:hAnsi="Times New Roman" w:cs="Times New Roman"/>
          <w:sz w:val="24"/>
          <w:szCs w:val="24"/>
        </w:rPr>
        <w:t>Booster Pump Stations</w:t>
      </w:r>
    </w:p>
    <w:p w:rsidR="004047EA" w:rsidRPr="00B40BF7" w:rsidRDefault="004047EA" w:rsidP="00A55061">
      <w:pPr>
        <w:pStyle w:val="ListParagraph"/>
        <w:numPr>
          <w:ilvl w:val="0"/>
          <w:numId w:val="4"/>
        </w:numPr>
        <w:ind w:left="1080"/>
        <w:rPr>
          <w:rFonts w:ascii="Times New Roman" w:hAnsi="Times New Roman" w:cs="Times New Roman"/>
          <w:sz w:val="24"/>
          <w:szCs w:val="24"/>
        </w:rPr>
      </w:pPr>
      <w:r w:rsidRPr="00B40BF7">
        <w:rPr>
          <w:rFonts w:ascii="Times New Roman" w:hAnsi="Times New Roman" w:cs="Times New Roman"/>
          <w:sz w:val="24"/>
          <w:szCs w:val="24"/>
        </w:rPr>
        <w:t>Injection Wells Systems, LFA</w:t>
      </w:r>
    </w:p>
    <w:p w:rsidR="004047EA" w:rsidRPr="00B40BF7" w:rsidRDefault="004047EA" w:rsidP="00A55061">
      <w:pPr>
        <w:pStyle w:val="ListParagraph"/>
        <w:numPr>
          <w:ilvl w:val="0"/>
          <w:numId w:val="4"/>
        </w:numPr>
        <w:ind w:left="1080"/>
        <w:rPr>
          <w:rFonts w:ascii="Times New Roman" w:hAnsi="Times New Roman" w:cs="Times New Roman"/>
          <w:sz w:val="24"/>
          <w:szCs w:val="24"/>
        </w:rPr>
      </w:pPr>
      <w:r w:rsidRPr="00B40BF7">
        <w:rPr>
          <w:rFonts w:ascii="Times New Roman" w:hAnsi="Times New Roman" w:cs="Times New Roman"/>
          <w:sz w:val="24"/>
          <w:szCs w:val="24"/>
        </w:rPr>
        <w:t>Treated ASR</w:t>
      </w:r>
    </w:p>
    <w:p w:rsidR="004047EA" w:rsidRPr="00B40BF7" w:rsidRDefault="004047EA" w:rsidP="00A55061">
      <w:pPr>
        <w:pStyle w:val="ListParagraph"/>
        <w:numPr>
          <w:ilvl w:val="0"/>
          <w:numId w:val="4"/>
        </w:numPr>
        <w:ind w:left="1080"/>
        <w:rPr>
          <w:rFonts w:ascii="Times New Roman" w:hAnsi="Times New Roman" w:cs="Times New Roman"/>
          <w:sz w:val="24"/>
          <w:szCs w:val="24"/>
        </w:rPr>
      </w:pPr>
      <w:r w:rsidRPr="00B40BF7">
        <w:rPr>
          <w:rFonts w:ascii="Times New Roman" w:hAnsi="Times New Roman" w:cs="Times New Roman"/>
          <w:sz w:val="24"/>
          <w:szCs w:val="24"/>
        </w:rPr>
        <w:t>Modifications to Existing WWTP’s for Public Access Reuse</w:t>
      </w:r>
    </w:p>
    <w:p w:rsidR="004047EA" w:rsidRPr="00B40BF7" w:rsidRDefault="004047EA" w:rsidP="00A55061">
      <w:pPr>
        <w:pStyle w:val="ListParagraph"/>
        <w:numPr>
          <w:ilvl w:val="0"/>
          <w:numId w:val="4"/>
        </w:numPr>
        <w:ind w:left="1080"/>
        <w:rPr>
          <w:rFonts w:ascii="Times New Roman" w:hAnsi="Times New Roman" w:cs="Times New Roman"/>
          <w:sz w:val="24"/>
          <w:szCs w:val="24"/>
        </w:rPr>
      </w:pPr>
      <w:r w:rsidRPr="00B40BF7">
        <w:rPr>
          <w:rFonts w:ascii="Times New Roman" w:hAnsi="Times New Roman" w:cs="Times New Roman"/>
          <w:sz w:val="24"/>
          <w:szCs w:val="24"/>
        </w:rPr>
        <w:t>RIBs and Reclaimed Ponds</w:t>
      </w:r>
    </w:p>
    <w:p w:rsidR="00C31A7E" w:rsidRPr="00B40BF7" w:rsidRDefault="00C31A7E" w:rsidP="00A55061">
      <w:pPr>
        <w:ind w:left="360"/>
        <w:rPr>
          <w:rFonts w:ascii="Times New Roman" w:hAnsi="Times New Roman" w:cs="Times New Roman"/>
          <w:sz w:val="24"/>
          <w:szCs w:val="24"/>
        </w:rPr>
      </w:pPr>
    </w:p>
    <w:p w:rsidR="00594B1A" w:rsidRPr="00B40BF7" w:rsidRDefault="00594B1A" w:rsidP="00A55061">
      <w:pPr>
        <w:pStyle w:val="Heading2"/>
        <w:keepNext w:val="0"/>
        <w:spacing w:before="0"/>
        <w:ind w:left="360"/>
        <w:rPr>
          <w:rFonts w:ascii="Times New Roman" w:hAnsi="Times New Roman"/>
          <w:i/>
          <w:color w:val="000000" w:themeColor="text1"/>
          <w:sz w:val="24"/>
          <w:szCs w:val="24"/>
        </w:rPr>
      </w:pPr>
      <w:r w:rsidRPr="00B40BF7">
        <w:rPr>
          <w:rFonts w:ascii="Times New Roman" w:hAnsi="Times New Roman"/>
          <w:i/>
          <w:color w:val="000000" w:themeColor="text1"/>
          <w:sz w:val="24"/>
          <w:szCs w:val="24"/>
        </w:rPr>
        <w:lastRenderedPageBreak/>
        <w:t>Systems</w:t>
      </w:r>
    </w:p>
    <w:p w:rsidR="004047EA" w:rsidRPr="00B40BF7" w:rsidRDefault="004047EA" w:rsidP="00A55061">
      <w:pPr>
        <w:pStyle w:val="ListParagraph"/>
        <w:numPr>
          <w:ilvl w:val="0"/>
          <w:numId w:val="3"/>
        </w:numPr>
        <w:ind w:left="1080"/>
        <w:rPr>
          <w:rFonts w:ascii="Times New Roman" w:hAnsi="Times New Roman" w:cs="Times New Roman"/>
          <w:sz w:val="24"/>
          <w:szCs w:val="24"/>
        </w:rPr>
      </w:pPr>
      <w:r w:rsidRPr="00B40BF7">
        <w:rPr>
          <w:rFonts w:ascii="Times New Roman" w:hAnsi="Times New Roman" w:cs="Times New Roman"/>
          <w:sz w:val="24"/>
          <w:szCs w:val="24"/>
        </w:rPr>
        <w:t>Surface water intakes</w:t>
      </w:r>
    </w:p>
    <w:p w:rsidR="004047EA" w:rsidRPr="00B40BF7" w:rsidRDefault="004047EA" w:rsidP="00A55061">
      <w:pPr>
        <w:pStyle w:val="ListParagraph"/>
        <w:numPr>
          <w:ilvl w:val="0"/>
          <w:numId w:val="3"/>
        </w:numPr>
        <w:ind w:left="1080"/>
        <w:rPr>
          <w:rFonts w:ascii="Times New Roman" w:hAnsi="Times New Roman" w:cs="Times New Roman"/>
          <w:sz w:val="24"/>
          <w:szCs w:val="24"/>
        </w:rPr>
      </w:pPr>
      <w:r w:rsidRPr="00B40BF7">
        <w:rPr>
          <w:rFonts w:ascii="Times New Roman" w:hAnsi="Times New Roman" w:cs="Times New Roman"/>
          <w:sz w:val="24"/>
          <w:szCs w:val="24"/>
        </w:rPr>
        <w:t>Production, injection, and ASR wells</w:t>
      </w:r>
    </w:p>
    <w:p w:rsidR="004047EA" w:rsidRPr="00B40BF7" w:rsidRDefault="004047EA" w:rsidP="00A55061">
      <w:pPr>
        <w:pStyle w:val="ListParagraph"/>
        <w:numPr>
          <w:ilvl w:val="0"/>
          <w:numId w:val="3"/>
        </w:numPr>
        <w:ind w:left="1080"/>
        <w:rPr>
          <w:rFonts w:ascii="Times New Roman" w:hAnsi="Times New Roman" w:cs="Times New Roman"/>
          <w:sz w:val="24"/>
          <w:szCs w:val="24"/>
        </w:rPr>
      </w:pPr>
      <w:r w:rsidRPr="00B40BF7">
        <w:rPr>
          <w:rFonts w:ascii="Times New Roman" w:hAnsi="Times New Roman" w:cs="Times New Roman"/>
          <w:sz w:val="24"/>
          <w:szCs w:val="24"/>
        </w:rPr>
        <w:t>Pipelines (Urban/Rural)</w:t>
      </w:r>
    </w:p>
    <w:p w:rsidR="004047EA" w:rsidRPr="00B40BF7" w:rsidRDefault="004047EA" w:rsidP="00A55061">
      <w:pPr>
        <w:pStyle w:val="ListParagraph"/>
        <w:numPr>
          <w:ilvl w:val="0"/>
          <w:numId w:val="3"/>
        </w:numPr>
        <w:ind w:left="1080"/>
        <w:rPr>
          <w:rFonts w:ascii="Times New Roman" w:hAnsi="Times New Roman" w:cs="Times New Roman"/>
          <w:sz w:val="24"/>
          <w:szCs w:val="24"/>
        </w:rPr>
      </w:pPr>
      <w:r w:rsidRPr="00B40BF7">
        <w:rPr>
          <w:rFonts w:ascii="Times New Roman" w:hAnsi="Times New Roman" w:cs="Times New Roman"/>
          <w:sz w:val="24"/>
          <w:szCs w:val="24"/>
        </w:rPr>
        <w:t>Deep Bed Filters</w:t>
      </w:r>
    </w:p>
    <w:p w:rsidR="004047EA" w:rsidRPr="00B40BF7" w:rsidRDefault="004047EA" w:rsidP="00A55061">
      <w:pPr>
        <w:pStyle w:val="ListParagraph"/>
        <w:numPr>
          <w:ilvl w:val="0"/>
          <w:numId w:val="3"/>
        </w:numPr>
        <w:ind w:left="1080"/>
        <w:rPr>
          <w:rFonts w:ascii="Times New Roman" w:hAnsi="Times New Roman" w:cs="Times New Roman"/>
          <w:sz w:val="24"/>
          <w:szCs w:val="24"/>
        </w:rPr>
      </w:pPr>
      <w:r w:rsidRPr="00B40BF7">
        <w:rPr>
          <w:rFonts w:ascii="Times New Roman" w:hAnsi="Times New Roman" w:cs="Times New Roman"/>
          <w:sz w:val="24"/>
          <w:szCs w:val="24"/>
        </w:rPr>
        <w:t>ASR Monitoring Wells</w:t>
      </w:r>
    </w:p>
    <w:p w:rsidR="004047EA" w:rsidRPr="00B40BF7" w:rsidRDefault="004047EA" w:rsidP="00A55061">
      <w:pPr>
        <w:pStyle w:val="ListParagraph"/>
        <w:numPr>
          <w:ilvl w:val="0"/>
          <w:numId w:val="3"/>
        </w:numPr>
        <w:ind w:left="1080"/>
        <w:rPr>
          <w:rFonts w:ascii="Times New Roman" w:hAnsi="Times New Roman" w:cs="Times New Roman"/>
          <w:sz w:val="24"/>
          <w:szCs w:val="24"/>
        </w:rPr>
      </w:pPr>
      <w:r w:rsidRPr="00B40BF7">
        <w:rPr>
          <w:rFonts w:ascii="Times New Roman" w:hAnsi="Times New Roman" w:cs="Times New Roman"/>
          <w:sz w:val="24"/>
          <w:szCs w:val="24"/>
        </w:rPr>
        <w:t>Chlorine Disinfection</w:t>
      </w:r>
    </w:p>
    <w:p w:rsidR="004047EA" w:rsidRPr="00B40BF7" w:rsidRDefault="004047EA" w:rsidP="00A55061">
      <w:pPr>
        <w:pStyle w:val="ListParagraph"/>
        <w:numPr>
          <w:ilvl w:val="0"/>
          <w:numId w:val="3"/>
        </w:numPr>
        <w:ind w:left="1080"/>
        <w:rPr>
          <w:rFonts w:ascii="Times New Roman" w:hAnsi="Times New Roman" w:cs="Times New Roman"/>
          <w:sz w:val="24"/>
          <w:szCs w:val="24"/>
        </w:rPr>
      </w:pPr>
      <w:r w:rsidRPr="00B40BF7">
        <w:rPr>
          <w:rFonts w:ascii="Times New Roman" w:hAnsi="Times New Roman" w:cs="Times New Roman"/>
          <w:sz w:val="24"/>
          <w:szCs w:val="24"/>
        </w:rPr>
        <w:t>Pumps and pump stations (Transfer/Lift and High Service)</w:t>
      </w:r>
    </w:p>
    <w:p w:rsidR="004047EA" w:rsidRPr="00B40BF7" w:rsidRDefault="004047EA" w:rsidP="00A55061">
      <w:pPr>
        <w:pStyle w:val="ListParagraph"/>
        <w:numPr>
          <w:ilvl w:val="0"/>
          <w:numId w:val="3"/>
        </w:numPr>
        <w:ind w:left="1080"/>
        <w:rPr>
          <w:rFonts w:ascii="Times New Roman" w:hAnsi="Times New Roman" w:cs="Times New Roman"/>
          <w:sz w:val="24"/>
          <w:szCs w:val="24"/>
        </w:rPr>
      </w:pPr>
      <w:r w:rsidRPr="00B40BF7">
        <w:rPr>
          <w:rFonts w:ascii="Times New Roman" w:hAnsi="Times New Roman" w:cs="Times New Roman"/>
          <w:sz w:val="24"/>
          <w:szCs w:val="24"/>
        </w:rPr>
        <w:t xml:space="preserve">Tanks </w:t>
      </w:r>
    </w:p>
    <w:p w:rsidR="00594B1A" w:rsidRPr="00B40BF7" w:rsidRDefault="00594B1A" w:rsidP="00A55061">
      <w:pPr>
        <w:pStyle w:val="ListParagraph"/>
        <w:numPr>
          <w:ilvl w:val="0"/>
          <w:numId w:val="3"/>
        </w:numPr>
        <w:ind w:left="1080"/>
        <w:rPr>
          <w:rFonts w:ascii="Times New Roman" w:hAnsi="Times New Roman" w:cs="Times New Roman"/>
          <w:sz w:val="24"/>
          <w:szCs w:val="24"/>
        </w:rPr>
      </w:pPr>
      <w:r w:rsidRPr="00B40BF7">
        <w:rPr>
          <w:rFonts w:ascii="Times New Roman" w:hAnsi="Times New Roman" w:cs="Times New Roman"/>
          <w:sz w:val="24"/>
          <w:szCs w:val="24"/>
        </w:rPr>
        <w:t>Reservoirs</w:t>
      </w:r>
    </w:p>
    <w:p w:rsidR="004032C7" w:rsidRDefault="004032C7" w:rsidP="0020720C">
      <w:pPr>
        <w:spacing w:before="240"/>
        <w:rPr>
          <w:rFonts w:ascii="Times New Roman" w:hAnsi="Times New Roman" w:cs="Times New Roman"/>
          <w:sz w:val="24"/>
          <w:szCs w:val="24"/>
        </w:rPr>
      </w:pPr>
      <w:r w:rsidRPr="00B40BF7">
        <w:rPr>
          <w:rFonts w:ascii="Times New Roman" w:hAnsi="Times New Roman" w:cs="Times New Roman"/>
          <w:sz w:val="24"/>
          <w:szCs w:val="24"/>
        </w:rPr>
        <w:t>For questions regarding the use and configuration of the CE Tool, please contact</w:t>
      </w:r>
      <w:r w:rsidR="008637AD">
        <w:rPr>
          <w:rFonts w:ascii="Times New Roman" w:hAnsi="Times New Roman" w:cs="Times New Roman"/>
          <w:sz w:val="24"/>
          <w:szCs w:val="24"/>
        </w:rPr>
        <w:t>:</w:t>
      </w:r>
      <w:r w:rsidRPr="00B40BF7">
        <w:rPr>
          <w:rFonts w:ascii="Times New Roman" w:hAnsi="Times New Roman" w:cs="Times New Roman"/>
          <w:sz w:val="24"/>
          <w:szCs w:val="24"/>
        </w:rPr>
        <w:t xml:space="preserve"> </w:t>
      </w:r>
    </w:p>
    <w:p w:rsidR="008637AD" w:rsidRDefault="008637AD" w:rsidP="0020720C">
      <w:pPr>
        <w:spacing w:before="240"/>
        <w:rPr>
          <w:rFonts w:ascii="Times New Roman" w:hAnsi="Times New Roman" w:cs="Times New Roman"/>
          <w:sz w:val="24"/>
          <w:szCs w:val="24"/>
        </w:rPr>
      </w:pPr>
      <w:r>
        <w:rPr>
          <w:rFonts w:ascii="Times New Roman" w:hAnsi="Times New Roman" w:cs="Times New Roman"/>
          <w:sz w:val="24"/>
          <w:szCs w:val="24"/>
        </w:rPr>
        <w:tab/>
        <w:t>Carol Brown, P.E., SJRWMD 386-329-4816;</w:t>
      </w:r>
    </w:p>
    <w:p w:rsidR="008637AD" w:rsidRDefault="008637AD" w:rsidP="0020720C">
      <w:pPr>
        <w:spacing w:before="240"/>
        <w:rPr>
          <w:rFonts w:ascii="Times New Roman" w:hAnsi="Times New Roman" w:cs="Times New Roman"/>
          <w:sz w:val="24"/>
          <w:szCs w:val="24"/>
        </w:rPr>
      </w:pPr>
      <w:r>
        <w:rPr>
          <w:rFonts w:ascii="Times New Roman" w:hAnsi="Times New Roman" w:cs="Times New Roman"/>
          <w:sz w:val="24"/>
          <w:szCs w:val="24"/>
        </w:rPr>
        <w:tab/>
        <w:t>Thomas Kiger, P.E., SWFWMD 352-796-7211, ext. 4536; or</w:t>
      </w:r>
    </w:p>
    <w:p w:rsidR="008637AD" w:rsidRPr="00B40BF7" w:rsidRDefault="008637AD" w:rsidP="0020720C">
      <w:pPr>
        <w:spacing w:before="240"/>
        <w:rPr>
          <w:rFonts w:ascii="Times New Roman" w:hAnsi="Times New Roman" w:cs="Times New Roman"/>
          <w:sz w:val="24"/>
          <w:szCs w:val="24"/>
        </w:rPr>
      </w:pPr>
      <w:r>
        <w:rPr>
          <w:rFonts w:ascii="Times New Roman" w:hAnsi="Times New Roman" w:cs="Times New Roman"/>
          <w:sz w:val="24"/>
          <w:szCs w:val="24"/>
        </w:rPr>
        <w:tab/>
        <w:t>Richard Nevulis, SFWMD 561-682-6242</w:t>
      </w:r>
      <w:bookmarkStart w:id="0" w:name="_GoBack"/>
      <w:bookmarkEnd w:id="0"/>
    </w:p>
    <w:sectPr w:rsidR="008637AD" w:rsidRPr="00B40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13637"/>
    <w:multiLevelType w:val="hybridMultilevel"/>
    <w:tmpl w:val="578A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14349"/>
    <w:multiLevelType w:val="hybridMultilevel"/>
    <w:tmpl w:val="F006A23C"/>
    <w:lvl w:ilvl="0" w:tplc="3E98BC3C">
      <w:start w:val="1"/>
      <w:numFmt w:val="bullet"/>
      <w:pStyle w:val="Dropbulletlist"/>
      <w:lvlText w:val="S"/>
      <w:lvlJc w:val="left"/>
      <w:pPr>
        <w:ind w:left="1440" w:hanging="360"/>
      </w:pPr>
      <w:rPr>
        <w:rFonts w:ascii="Wingdings" w:hAnsi="Wingdings" w:hint="default"/>
        <w:color w:val="833C0B" w:themeColor="accent2" w:themeShade="80"/>
        <w:sz w:val="20"/>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DF3108"/>
    <w:multiLevelType w:val="hybridMultilevel"/>
    <w:tmpl w:val="6760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A940C6"/>
    <w:multiLevelType w:val="hybridMultilevel"/>
    <w:tmpl w:val="6A5822E4"/>
    <w:lvl w:ilvl="0" w:tplc="A7607B6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B1"/>
    <w:rsid w:val="000441E9"/>
    <w:rsid w:val="0005612C"/>
    <w:rsid w:val="0020720C"/>
    <w:rsid w:val="003E734D"/>
    <w:rsid w:val="004032C7"/>
    <w:rsid w:val="004047EA"/>
    <w:rsid w:val="0041053C"/>
    <w:rsid w:val="004C72F7"/>
    <w:rsid w:val="004D1A00"/>
    <w:rsid w:val="00594B1A"/>
    <w:rsid w:val="00683F0A"/>
    <w:rsid w:val="008637AD"/>
    <w:rsid w:val="0092545E"/>
    <w:rsid w:val="00A065FA"/>
    <w:rsid w:val="00A2578D"/>
    <w:rsid w:val="00A25B9F"/>
    <w:rsid w:val="00A55061"/>
    <w:rsid w:val="00A75226"/>
    <w:rsid w:val="00B40BF7"/>
    <w:rsid w:val="00C31A7E"/>
    <w:rsid w:val="00D83825"/>
    <w:rsid w:val="00E97368"/>
    <w:rsid w:val="00EF34A1"/>
    <w:rsid w:val="00F43357"/>
    <w:rsid w:val="00F577D0"/>
    <w:rsid w:val="00FB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1A774"/>
  <w15:chartTrackingRefBased/>
  <w15:docId w15:val="{66C1BB34-3BAA-4B03-90CB-E21EB1AE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3B1"/>
    <w:pPr>
      <w:spacing w:after="200" w:line="276" w:lineRule="auto"/>
    </w:pPr>
  </w:style>
  <w:style w:type="paragraph" w:styleId="Heading1">
    <w:name w:val="heading 1"/>
    <w:aliases w:val="Heading1"/>
    <w:next w:val="Normal"/>
    <w:link w:val="Heading1Char"/>
    <w:autoRedefine/>
    <w:qFormat/>
    <w:rsid w:val="00B40BF7"/>
    <w:pPr>
      <w:keepNext/>
      <w:keepLines/>
      <w:overflowPunct w:val="0"/>
      <w:autoSpaceDE w:val="0"/>
      <w:autoSpaceDN w:val="0"/>
      <w:adjustRightInd w:val="0"/>
      <w:spacing w:after="0" w:line="280" w:lineRule="atLeast"/>
      <w:jc w:val="center"/>
      <w:textAlignment w:val="baseline"/>
      <w:outlineLvl w:val="0"/>
    </w:pPr>
    <w:rPr>
      <w:rFonts w:ascii="Calibri" w:eastAsia="Times New Roman" w:hAnsi="Calibri" w:cs="Times New Roman"/>
      <w:b/>
      <w:caps/>
      <w:color w:val="808080"/>
      <w:sz w:val="40"/>
      <w:szCs w:val="36"/>
    </w:rPr>
  </w:style>
  <w:style w:type="paragraph" w:styleId="Heading2">
    <w:name w:val="heading 2"/>
    <w:aliases w:val="Heading2"/>
    <w:next w:val="Body"/>
    <w:link w:val="Heading2Char"/>
    <w:qFormat/>
    <w:rsid w:val="00FB63B1"/>
    <w:pPr>
      <w:keepNext/>
      <w:spacing w:before="340" w:after="0" w:line="280" w:lineRule="atLeast"/>
      <w:outlineLvl w:val="1"/>
    </w:pPr>
    <w:rPr>
      <w:rFonts w:ascii="Calibri" w:eastAsia="Times New Roman" w:hAnsi="Calibri" w:cs="Times New Roman"/>
      <w:b/>
      <w:color w:val="808080"/>
      <w:sz w:val="32"/>
      <w:szCs w:val="28"/>
    </w:rPr>
  </w:style>
  <w:style w:type="paragraph" w:styleId="Heading3">
    <w:name w:val="heading 3"/>
    <w:aliases w:val="Heading3"/>
    <w:next w:val="Body"/>
    <w:link w:val="Heading3Char"/>
    <w:autoRedefine/>
    <w:qFormat/>
    <w:rsid w:val="00FB63B1"/>
    <w:pPr>
      <w:keepNext/>
      <w:spacing w:before="280" w:after="0" w:line="240" w:lineRule="atLeast"/>
      <w:jc w:val="both"/>
      <w:outlineLvl w:val="2"/>
    </w:pPr>
    <w:rPr>
      <w:rFonts w:eastAsia="Times New Roman" w:cs="Times New Roman"/>
      <w:b/>
      <w:i/>
      <w:color w:val="80808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basedOn w:val="DefaultParagraphFont"/>
    <w:link w:val="Heading1"/>
    <w:rsid w:val="00B40BF7"/>
    <w:rPr>
      <w:rFonts w:ascii="Calibri" w:eastAsia="Times New Roman" w:hAnsi="Calibri" w:cs="Times New Roman"/>
      <w:b/>
      <w:caps/>
      <w:color w:val="808080"/>
      <w:sz w:val="40"/>
      <w:szCs w:val="36"/>
    </w:rPr>
  </w:style>
  <w:style w:type="character" w:customStyle="1" w:styleId="Heading2Char">
    <w:name w:val="Heading 2 Char"/>
    <w:aliases w:val="Heading2 Char"/>
    <w:basedOn w:val="DefaultParagraphFont"/>
    <w:link w:val="Heading2"/>
    <w:rsid w:val="00FB63B1"/>
    <w:rPr>
      <w:rFonts w:ascii="Calibri" w:eastAsia="Times New Roman" w:hAnsi="Calibri" w:cs="Times New Roman"/>
      <w:b/>
      <w:color w:val="808080"/>
      <w:sz w:val="32"/>
      <w:szCs w:val="28"/>
    </w:rPr>
  </w:style>
  <w:style w:type="character" w:customStyle="1" w:styleId="Heading3Char">
    <w:name w:val="Heading 3 Char"/>
    <w:aliases w:val="Heading3 Char"/>
    <w:basedOn w:val="DefaultParagraphFont"/>
    <w:link w:val="Heading3"/>
    <w:rsid w:val="00FB63B1"/>
    <w:rPr>
      <w:rFonts w:eastAsia="Times New Roman" w:cs="Times New Roman"/>
      <w:b/>
      <w:i/>
      <w:color w:val="808080"/>
      <w:sz w:val="28"/>
      <w:szCs w:val="24"/>
    </w:rPr>
  </w:style>
  <w:style w:type="paragraph" w:styleId="ListParagraph">
    <w:name w:val="List Paragraph"/>
    <w:basedOn w:val="Normal"/>
    <w:uiPriority w:val="34"/>
    <w:qFormat/>
    <w:rsid w:val="00FB63B1"/>
    <w:pPr>
      <w:spacing w:after="0" w:line="240" w:lineRule="auto"/>
      <w:ind w:left="720"/>
    </w:pPr>
  </w:style>
  <w:style w:type="character" w:styleId="Hyperlink">
    <w:name w:val="Hyperlink"/>
    <w:basedOn w:val="DefaultParagraphFont"/>
    <w:uiPriority w:val="99"/>
    <w:rsid w:val="00FB63B1"/>
    <w:rPr>
      <w:color w:val="0000FF"/>
      <w:u w:val="single"/>
    </w:rPr>
  </w:style>
  <w:style w:type="paragraph" w:customStyle="1" w:styleId="Body">
    <w:name w:val="Body"/>
    <w:basedOn w:val="Normal"/>
    <w:link w:val="BodyChar"/>
    <w:qFormat/>
    <w:rsid w:val="00FB63B1"/>
    <w:pPr>
      <w:suppressAutoHyphens/>
      <w:spacing w:before="280" w:after="0" w:line="280" w:lineRule="exact"/>
      <w:ind w:left="720"/>
      <w:jc w:val="both"/>
    </w:pPr>
    <w:rPr>
      <w:rFonts w:ascii="Cambria" w:eastAsia="Times New Roman" w:hAnsi="Cambria" w:cs="Times New Roman"/>
      <w:snapToGrid w:val="0"/>
      <w:color w:val="000000"/>
      <w:szCs w:val="24"/>
    </w:rPr>
  </w:style>
  <w:style w:type="character" w:customStyle="1" w:styleId="BodyChar">
    <w:name w:val="Body Char"/>
    <w:basedOn w:val="DefaultParagraphFont"/>
    <w:link w:val="Body"/>
    <w:rsid w:val="00FB63B1"/>
    <w:rPr>
      <w:rFonts w:ascii="Cambria" w:eastAsia="Times New Roman" w:hAnsi="Cambria" w:cs="Times New Roman"/>
      <w:snapToGrid w:val="0"/>
      <w:color w:val="000000"/>
      <w:szCs w:val="24"/>
    </w:rPr>
  </w:style>
  <w:style w:type="paragraph" w:customStyle="1" w:styleId="Dropbulletlist">
    <w:name w:val="Drop bullet list"/>
    <w:basedOn w:val="BodyText"/>
    <w:link w:val="DropbulletlistChar"/>
    <w:qFormat/>
    <w:rsid w:val="00FB63B1"/>
    <w:pPr>
      <w:numPr>
        <w:numId w:val="2"/>
      </w:numPr>
      <w:tabs>
        <w:tab w:val="left" w:pos="1440"/>
      </w:tabs>
      <w:spacing w:before="120" w:after="0" w:line="280" w:lineRule="atLeast"/>
      <w:jc w:val="both"/>
    </w:pPr>
    <w:rPr>
      <w:rFonts w:ascii="Cambria" w:eastAsia="Times New Roman" w:hAnsi="Cambria" w:cs="Times New Roman"/>
      <w:snapToGrid w:val="0"/>
      <w:color w:val="000000"/>
      <w:szCs w:val="24"/>
    </w:rPr>
  </w:style>
  <w:style w:type="character" w:customStyle="1" w:styleId="DropbulletlistChar">
    <w:name w:val="Drop bullet list Char"/>
    <w:basedOn w:val="DefaultParagraphFont"/>
    <w:link w:val="Dropbulletlist"/>
    <w:rsid w:val="00FB63B1"/>
    <w:rPr>
      <w:rFonts w:ascii="Cambria" w:eastAsia="Times New Roman" w:hAnsi="Cambria" w:cs="Times New Roman"/>
      <w:snapToGrid w:val="0"/>
      <w:color w:val="000000"/>
      <w:szCs w:val="24"/>
    </w:rPr>
  </w:style>
  <w:style w:type="paragraph" w:customStyle="1" w:styleId="TableHead">
    <w:name w:val="Table Head"/>
    <w:basedOn w:val="Normal"/>
    <w:rsid w:val="00FB63B1"/>
    <w:pPr>
      <w:keepNext/>
      <w:spacing w:before="80" w:after="80" w:line="240" w:lineRule="auto"/>
      <w:jc w:val="center"/>
    </w:pPr>
    <w:rPr>
      <w:rFonts w:ascii="Calibri" w:hAnsi="Calibri" w:cs="Times New Roman"/>
      <w:b/>
      <w:bCs/>
      <w:sz w:val="18"/>
      <w:szCs w:val="18"/>
    </w:rPr>
  </w:style>
  <w:style w:type="paragraph" w:customStyle="1" w:styleId="TableBody">
    <w:name w:val="Table Body"/>
    <w:basedOn w:val="Normal"/>
    <w:rsid w:val="00FB63B1"/>
    <w:pPr>
      <w:spacing w:before="80" w:after="80" w:line="240" w:lineRule="auto"/>
    </w:pPr>
    <w:rPr>
      <w:rFonts w:ascii="Calibri" w:hAnsi="Calibri" w:cs="Times New Roman"/>
      <w:sz w:val="18"/>
      <w:szCs w:val="18"/>
    </w:rPr>
  </w:style>
  <w:style w:type="paragraph" w:customStyle="1" w:styleId="TableNotes">
    <w:name w:val="Table Notes"/>
    <w:basedOn w:val="Normal"/>
    <w:rsid w:val="00FB63B1"/>
    <w:pPr>
      <w:spacing w:before="80" w:after="0" w:line="240" w:lineRule="auto"/>
    </w:pPr>
    <w:rPr>
      <w:rFonts w:ascii="Calibri" w:hAnsi="Calibri" w:cs="Times New Roman"/>
      <w:sz w:val="18"/>
      <w:szCs w:val="18"/>
    </w:rPr>
  </w:style>
  <w:style w:type="character" w:styleId="CommentReference">
    <w:name w:val="annotation reference"/>
    <w:basedOn w:val="DefaultParagraphFont"/>
    <w:uiPriority w:val="99"/>
    <w:semiHidden/>
    <w:unhideWhenUsed/>
    <w:rsid w:val="00FB63B1"/>
    <w:rPr>
      <w:sz w:val="16"/>
      <w:szCs w:val="16"/>
    </w:rPr>
  </w:style>
  <w:style w:type="paragraph" w:styleId="CommentText">
    <w:name w:val="annotation text"/>
    <w:basedOn w:val="Normal"/>
    <w:link w:val="CommentTextChar"/>
    <w:uiPriority w:val="99"/>
    <w:semiHidden/>
    <w:unhideWhenUsed/>
    <w:rsid w:val="00FB63B1"/>
    <w:pPr>
      <w:spacing w:line="240" w:lineRule="auto"/>
    </w:pPr>
    <w:rPr>
      <w:sz w:val="20"/>
      <w:szCs w:val="20"/>
    </w:rPr>
  </w:style>
  <w:style w:type="character" w:customStyle="1" w:styleId="CommentTextChar">
    <w:name w:val="Comment Text Char"/>
    <w:basedOn w:val="DefaultParagraphFont"/>
    <w:link w:val="CommentText"/>
    <w:uiPriority w:val="99"/>
    <w:semiHidden/>
    <w:rsid w:val="00FB63B1"/>
    <w:rPr>
      <w:sz w:val="20"/>
      <w:szCs w:val="20"/>
    </w:rPr>
  </w:style>
  <w:style w:type="paragraph" w:styleId="BodyText">
    <w:name w:val="Body Text"/>
    <w:basedOn w:val="Normal"/>
    <w:link w:val="BodyTextChar"/>
    <w:uiPriority w:val="99"/>
    <w:semiHidden/>
    <w:unhideWhenUsed/>
    <w:rsid w:val="00FB63B1"/>
    <w:pPr>
      <w:spacing w:after="120"/>
    </w:pPr>
  </w:style>
  <w:style w:type="character" w:customStyle="1" w:styleId="BodyTextChar">
    <w:name w:val="Body Text Char"/>
    <w:basedOn w:val="DefaultParagraphFont"/>
    <w:link w:val="BodyText"/>
    <w:uiPriority w:val="99"/>
    <w:semiHidden/>
    <w:rsid w:val="00FB63B1"/>
  </w:style>
  <w:style w:type="paragraph" w:styleId="BalloonText">
    <w:name w:val="Balloon Text"/>
    <w:basedOn w:val="Normal"/>
    <w:link w:val="BalloonTextChar"/>
    <w:uiPriority w:val="99"/>
    <w:semiHidden/>
    <w:unhideWhenUsed/>
    <w:rsid w:val="00FB6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3B1"/>
    <w:rPr>
      <w:rFonts w:ascii="Segoe UI" w:hAnsi="Segoe UI" w:cs="Segoe UI"/>
      <w:sz w:val="18"/>
      <w:szCs w:val="18"/>
    </w:rPr>
  </w:style>
  <w:style w:type="character" w:styleId="FollowedHyperlink">
    <w:name w:val="FollowedHyperlink"/>
    <w:basedOn w:val="DefaultParagraphFont"/>
    <w:uiPriority w:val="99"/>
    <w:semiHidden/>
    <w:unhideWhenUsed/>
    <w:rsid w:val="00F43357"/>
    <w:rPr>
      <w:color w:val="954F72" w:themeColor="followedHyperlink"/>
      <w:u w:val="single"/>
    </w:rPr>
  </w:style>
  <w:style w:type="character" w:styleId="UnresolvedMention">
    <w:name w:val="Unresolved Mention"/>
    <w:basedOn w:val="DefaultParagraphFont"/>
    <w:uiPriority w:val="99"/>
    <w:semiHidden/>
    <w:unhideWhenUsed/>
    <w:rsid w:val="004105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jrwmd.com/documents/technical-reports/special-publications/2015-2009/" TargetMode="External"/><Relationship Id="rId5" Type="http://schemas.openxmlformats.org/officeDocument/2006/relationships/hyperlink" Target="https://cfwiwater.com/CFWIresourc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SWFWMD</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Carlson</dc:creator>
  <cp:keywords/>
  <dc:description/>
  <cp:lastModifiedBy>Carol Brown</cp:lastModifiedBy>
  <cp:revision>5</cp:revision>
  <dcterms:created xsi:type="dcterms:W3CDTF">2018-04-30T14:33:00Z</dcterms:created>
  <dcterms:modified xsi:type="dcterms:W3CDTF">2018-05-07T13:08:00Z</dcterms:modified>
</cp:coreProperties>
</file>